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E9" w:rsidRDefault="00254B6B">
      <w:pPr>
        <w:jc w:val="center"/>
        <w:rPr>
          <w:rFonts w:asciiTheme="majorHAnsi" w:hAnsiTheme="majorHAnsi"/>
          <w:b/>
          <w:spacing w:val="60"/>
          <w:sz w:val="32"/>
        </w:rPr>
      </w:pPr>
      <w:bookmarkStart w:id="0" w:name="_GoBack"/>
      <w:bookmarkEnd w:id="0"/>
      <w:r>
        <w:rPr>
          <w:rFonts w:asciiTheme="majorHAnsi" w:hAnsiTheme="majorHAnsi"/>
          <w:b/>
          <w:spacing w:val="60"/>
          <w:sz w:val="32"/>
        </w:rPr>
        <w:t>KEY STAGE 4 STANDARDS</w:t>
      </w:r>
    </w:p>
    <w:p w:rsidR="008812E9" w:rsidRDefault="00254B6B">
      <w:pPr>
        <w:jc w:val="center"/>
        <w:rPr>
          <w:rFonts w:asciiTheme="majorHAnsi" w:hAnsiTheme="majorHAnsi"/>
          <w:b/>
          <w:sz w:val="40"/>
        </w:rPr>
      </w:pPr>
      <w:r>
        <w:rPr>
          <w:rFonts w:asciiTheme="majorHAnsi" w:hAnsiTheme="majorHAnsi"/>
          <w:b/>
          <w:sz w:val="40"/>
        </w:rPr>
        <w:t>2018 Key Stage 4 Outcomes</w:t>
      </w:r>
    </w:p>
    <w:p w:rsidR="008812E9" w:rsidRDefault="00254B6B">
      <w:pPr>
        <w:jc w:val="center"/>
        <w:rPr>
          <w:rFonts w:asciiTheme="majorHAnsi" w:hAnsiTheme="majorHAnsi"/>
          <w:b/>
          <w:i/>
          <w:sz w:val="22"/>
        </w:rPr>
      </w:pPr>
      <w:r>
        <w:rPr>
          <w:rFonts w:asciiTheme="majorHAnsi" w:hAnsiTheme="majorHAnsi"/>
          <w:b/>
          <w:i/>
          <w:sz w:val="22"/>
        </w:rPr>
        <w:t>Data based on ‘best entry’ outcomes, compared against provisional 2018 DfE estimates.</w:t>
      </w:r>
    </w:p>
    <w:p w:rsidR="008812E9" w:rsidRDefault="00254B6B">
      <w:pPr>
        <w:jc w:val="center"/>
        <w:rPr>
          <w:rFonts w:asciiTheme="majorHAnsi" w:hAnsiTheme="majorHAnsi"/>
          <w:b/>
          <w:i/>
          <w:sz w:val="22"/>
        </w:rPr>
      </w:pPr>
      <w:r>
        <w:rPr>
          <w:rFonts w:asciiTheme="majorHAnsi" w:hAnsiTheme="majorHAnsi"/>
          <w:b/>
          <w:i/>
          <w:sz w:val="22"/>
        </w:rPr>
        <w:t xml:space="preserve">Headlines will be updated in 2019 following the publication of the amended and validated 2018 national estimates. </w:t>
      </w:r>
    </w:p>
    <w:p w:rsidR="008812E9" w:rsidRDefault="008812E9">
      <w:pPr>
        <w:rPr>
          <w:rFonts w:asciiTheme="majorHAnsi" w:hAnsiTheme="majorHAnsi"/>
          <w:b/>
        </w:rPr>
      </w:pPr>
    </w:p>
    <w:p w:rsidR="008812E9" w:rsidRDefault="00254B6B">
      <w:pPr>
        <w:rPr>
          <w:rFonts w:asciiTheme="majorHAnsi" w:hAnsiTheme="majorHAnsi"/>
          <w:b/>
        </w:rPr>
      </w:pPr>
      <w:r>
        <w:rPr>
          <w:rFonts w:asciiTheme="majorHAnsi" w:hAnsiTheme="majorHAnsi"/>
          <w:b/>
        </w:rPr>
        <w:t>CONTEXT</w:t>
      </w:r>
    </w:p>
    <w:p w:rsidR="008812E9" w:rsidRDefault="008812E9">
      <w:pPr>
        <w:rPr>
          <w:rFonts w:asciiTheme="majorHAnsi" w:hAnsiTheme="majorHAnsi"/>
        </w:rPr>
      </w:pPr>
    </w:p>
    <w:p w:rsidR="008812E9" w:rsidRDefault="00254B6B">
      <w:pPr>
        <w:pStyle w:val="NormalWeb"/>
        <w:shd w:val="clear" w:color="auto" w:fill="FFFFFF"/>
        <w:spacing w:after="0"/>
        <w:jc w:val="left"/>
        <w:rPr>
          <w:rFonts w:asciiTheme="majorHAnsi" w:hAnsiTheme="majorHAnsi" w:cs="Calibri"/>
          <w:szCs w:val="22"/>
        </w:rPr>
      </w:pPr>
      <w:r>
        <w:rPr>
          <w:rFonts w:asciiTheme="majorHAnsi" w:hAnsiTheme="majorHAnsi" w:cs="Calibri"/>
          <w:szCs w:val="22"/>
        </w:rPr>
        <w:t>On 29 September 2013 the Secretary of State announced that, from this date, only a student’s first entry to a Key Stage 4 qualifica</w:t>
      </w:r>
      <w:r>
        <w:rPr>
          <w:rFonts w:asciiTheme="majorHAnsi" w:hAnsiTheme="majorHAnsi" w:cs="Calibri"/>
          <w:szCs w:val="22"/>
        </w:rPr>
        <w:t>tion counts towards their school’s performance measures.  Students can sit an examination more than once but it will be their first certificated grade in that subject that will be used for performance measures.  As a school we feel that a decision to remov</w:t>
      </w:r>
      <w:r>
        <w:rPr>
          <w:rFonts w:asciiTheme="majorHAnsi" w:hAnsiTheme="majorHAnsi" w:cs="Calibri"/>
          <w:szCs w:val="22"/>
        </w:rPr>
        <w:t>e the opportunity for all students to sit an examination early would be to some students’ detriment, as many gain confidence and build upon their successes as they re-sit examinations.  It can also take added pressure off their performance in the summer of</w:t>
      </w:r>
      <w:r>
        <w:rPr>
          <w:rFonts w:asciiTheme="majorHAnsi" w:hAnsiTheme="majorHAnsi" w:cs="Calibri"/>
          <w:szCs w:val="22"/>
        </w:rPr>
        <w:t xml:space="preserve"> Year 11, as they may already have achieved their target grade and can, therefore, work on getting their best grade with less stress and anxiety, which in turn will lead to a better performance for them.  For other students, however, sitting an examination</w:t>
      </w:r>
      <w:r>
        <w:rPr>
          <w:rFonts w:asciiTheme="majorHAnsi" w:hAnsiTheme="majorHAnsi" w:cs="Calibri"/>
          <w:szCs w:val="22"/>
        </w:rPr>
        <w:t xml:space="preserve"> too early when they are not fully equipped could reduce their confidence and add to the anxiety that external examinations can cause.  Therefore, through rigorous tracking of students’ progress and dialogue with teachers and parents throughout Year 9 and </w:t>
      </w:r>
      <w:r>
        <w:rPr>
          <w:rFonts w:asciiTheme="majorHAnsi" w:hAnsiTheme="majorHAnsi" w:cs="Calibri"/>
          <w:szCs w:val="22"/>
        </w:rPr>
        <w:t xml:space="preserve">Year 10 we are able to make an informed decision as to which students we think early entry will best suit. </w:t>
      </w:r>
    </w:p>
    <w:p w:rsidR="008812E9" w:rsidRDefault="008812E9">
      <w:pPr>
        <w:pStyle w:val="NormalWeb"/>
        <w:shd w:val="clear" w:color="auto" w:fill="FFFFFF"/>
        <w:spacing w:after="0"/>
        <w:jc w:val="left"/>
        <w:rPr>
          <w:rFonts w:asciiTheme="majorHAnsi" w:hAnsiTheme="majorHAnsi" w:cs="Calibri"/>
          <w:szCs w:val="22"/>
        </w:rPr>
      </w:pPr>
    </w:p>
    <w:p w:rsidR="008812E9" w:rsidRDefault="00254B6B">
      <w:pPr>
        <w:pStyle w:val="NormalWeb"/>
        <w:shd w:val="clear" w:color="auto" w:fill="FFFFFF"/>
        <w:spacing w:after="0"/>
        <w:jc w:val="left"/>
        <w:rPr>
          <w:rFonts w:asciiTheme="majorHAnsi" w:hAnsiTheme="majorHAnsi" w:cs="Calibri"/>
          <w:szCs w:val="22"/>
        </w:rPr>
      </w:pPr>
      <w:r>
        <w:rPr>
          <w:rFonts w:asciiTheme="majorHAnsi" w:hAnsiTheme="majorHAnsi" w:cs="Calibri"/>
          <w:szCs w:val="22"/>
        </w:rPr>
        <w:t>The implications of this decision will be felt by the school in our ‘league table’ data.  Students who sit examinations early will want to re-sit t</w:t>
      </w:r>
      <w:r>
        <w:rPr>
          <w:rFonts w:asciiTheme="majorHAnsi" w:hAnsiTheme="majorHAnsi" w:cs="Calibri"/>
          <w:szCs w:val="22"/>
        </w:rPr>
        <w:t>o try to improve grades but this new grade will not be taken into account when the school’s data is calculated; thankfully it will still count for the student.  We have been placed in a position whereby we have been forced to choose between what benefits t</w:t>
      </w:r>
      <w:r>
        <w:rPr>
          <w:rFonts w:asciiTheme="majorHAnsi" w:hAnsiTheme="majorHAnsi" w:cs="Calibri"/>
          <w:szCs w:val="22"/>
        </w:rPr>
        <w:t xml:space="preserve">he school’s data and what benefits our students.  On this basis the decision was an easy one, as we will always prioritise the needs of our students and do what is in their best interests, irrespective of the impact on performance tables positions. </w:t>
      </w:r>
    </w:p>
    <w:p w:rsidR="008812E9" w:rsidRDefault="008812E9">
      <w:pPr>
        <w:pStyle w:val="NormalWeb"/>
        <w:shd w:val="clear" w:color="auto" w:fill="FFFFFF"/>
        <w:spacing w:after="0"/>
        <w:jc w:val="left"/>
        <w:rPr>
          <w:rFonts w:asciiTheme="majorHAnsi" w:hAnsiTheme="majorHAnsi" w:cs="Calibri"/>
          <w:szCs w:val="22"/>
        </w:rPr>
      </w:pPr>
    </w:p>
    <w:p w:rsidR="008812E9" w:rsidRDefault="00254B6B">
      <w:pPr>
        <w:rPr>
          <w:rFonts w:asciiTheme="majorHAnsi" w:hAnsiTheme="majorHAnsi" w:cs="Calibri"/>
        </w:rPr>
      </w:pPr>
      <w:r>
        <w:rPr>
          <w:rFonts w:asciiTheme="majorHAnsi" w:hAnsiTheme="majorHAnsi" w:cs="Calibri"/>
        </w:rPr>
        <w:t>There</w:t>
      </w:r>
      <w:r>
        <w:rPr>
          <w:rFonts w:asciiTheme="majorHAnsi" w:hAnsiTheme="majorHAnsi" w:cs="Calibri"/>
        </w:rPr>
        <w:t>fore, the result shown on the following pages are our students’ ‘Best Entry’. This will allow all prospective parents and students to fully evaluate our school’s performance and for CCHS to be comparable with other schools.  Please ignore League Table resu</w:t>
      </w:r>
      <w:r>
        <w:rPr>
          <w:rFonts w:asciiTheme="majorHAnsi" w:hAnsiTheme="majorHAnsi" w:cs="Calibri"/>
        </w:rPr>
        <w:t>lts that show ‘First Entry’ results when students were in Year 10.</w:t>
      </w:r>
    </w:p>
    <w:p w:rsidR="008812E9" w:rsidRDefault="008812E9">
      <w:pPr>
        <w:rPr>
          <w:rFonts w:asciiTheme="majorHAnsi" w:hAnsiTheme="majorHAnsi" w:cs="Calibri"/>
        </w:rPr>
      </w:pPr>
    </w:p>
    <w:p w:rsidR="008812E9" w:rsidRDefault="00254B6B">
      <w:pPr>
        <w:rPr>
          <w:rFonts w:asciiTheme="majorHAnsi" w:hAnsiTheme="majorHAnsi" w:cs="Calibri"/>
          <w:b/>
        </w:rPr>
      </w:pPr>
      <w:r>
        <w:rPr>
          <w:rFonts w:asciiTheme="majorHAnsi" w:hAnsiTheme="majorHAnsi" w:cs="Calibri"/>
          <w:b/>
        </w:rPr>
        <w:t>PROGRESS 8</w:t>
      </w:r>
    </w:p>
    <w:p w:rsidR="008812E9" w:rsidRDefault="008812E9">
      <w:pPr>
        <w:rPr>
          <w:rFonts w:asciiTheme="majorHAnsi" w:hAnsiTheme="majorHAnsi" w:cstheme="minorHAnsi"/>
        </w:rPr>
      </w:pPr>
    </w:p>
    <w:p w:rsidR="008812E9" w:rsidRDefault="00254B6B">
      <w:pPr>
        <w:autoSpaceDE w:val="0"/>
        <w:autoSpaceDN w:val="0"/>
        <w:adjustRightInd w:val="0"/>
        <w:rPr>
          <w:rFonts w:asciiTheme="majorHAnsi" w:eastAsia="Times New Roman" w:hAnsiTheme="majorHAnsi" w:cs="Arial"/>
          <w:b/>
          <w:bCs/>
          <w:color w:val="000000" w:themeColor="text1"/>
          <w:kern w:val="24"/>
          <w:szCs w:val="32"/>
          <w:lang w:eastAsia="en-GB"/>
        </w:rPr>
      </w:pPr>
      <w:r>
        <w:rPr>
          <w:rFonts w:asciiTheme="majorHAnsi" w:hAnsiTheme="majorHAnsi" w:cstheme="minorHAnsi"/>
        </w:rPr>
        <w:t xml:space="preserve">The Progress 8 measure is designed to encourage all students to study </w:t>
      </w:r>
      <w:r>
        <w:rPr>
          <w:rFonts w:asciiTheme="majorHAnsi" w:hAnsiTheme="majorHAnsi" w:cstheme="minorHAnsi"/>
          <w:color w:val="000000"/>
        </w:rPr>
        <w:t xml:space="preserve">a </w:t>
      </w:r>
      <w:r>
        <w:rPr>
          <w:rFonts w:asciiTheme="majorHAnsi" w:hAnsiTheme="majorHAnsi" w:cstheme="minorHAnsi"/>
          <w:bCs/>
          <w:color w:val="000000"/>
        </w:rPr>
        <w:t xml:space="preserve">broad and balanced curriculum.  </w:t>
      </w:r>
      <w:r>
        <w:rPr>
          <w:rFonts w:asciiTheme="majorHAnsi" w:hAnsiTheme="majorHAnsi" w:cstheme="minorHAnsi"/>
          <w:color w:val="000000"/>
        </w:rPr>
        <w:t xml:space="preserve">The new measure is based </w:t>
      </w:r>
      <w:r>
        <w:rPr>
          <w:rFonts w:asciiTheme="majorHAnsi" w:hAnsiTheme="majorHAnsi" w:cstheme="minorHAnsi"/>
          <w:bCs/>
          <w:color w:val="000000"/>
        </w:rPr>
        <w:t xml:space="preserve">on students’ progress measured across eight subjects.  </w:t>
      </w:r>
      <w:r>
        <w:rPr>
          <w:rFonts w:asciiTheme="majorHAnsi" w:hAnsiTheme="majorHAnsi" w:cstheme="minorHAnsi"/>
          <w:color w:val="000000"/>
        </w:rPr>
        <w:t xml:space="preserve">For each student, the </w:t>
      </w:r>
      <w:r>
        <w:rPr>
          <w:rFonts w:asciiTheme="majorHAnsi" w:hAnsiTheme="majorHAnsi" w:cstheme="minorHAnsi"/>
          <w:bCs/>
          <w:color w:val="000000"/>
        </w:rPr>
        <w:t xml:space="preserve">eight subjects must be the correct combination from the diagram below. </w:t>
      </w:r>
    </w:p>
    <w:p w:rsidR="008812E9" w:rsidRDefault="008812E9">
      <w:pPr>
        <w:autoSpaceDE w:val="0"/>
        <w:autoSpaceDN w:val="0"/>
        <w:adjustRightInd w:val="0"/>
        <w:rPr>
          <w:rFonts w:asciiTheme="majorHAnsi" w:eastAsia="Times New Roman" w:hAnsiTheme="majorHAnsi" w:cs="Arial"/>
          <w:b/>
          <w:bCs/>
          <w:color w:val="000000" w:themeColor="text1"/>
          <w:kern w:val="24"/>
          <w:szCs w:val="32"/>
          <w:lang w:eastAsia="en-GB"/>
        </w:rPr>
      </w:pPr>
    </w:p>
    <w:p w:rsidR="008812E9" w:rsidRDefault="008812E9">
      <w:pPr>
        <w:autoSpaceDE w:val="0"/>
        <w:autoSpaceDN w:val="0"/>
        <w:adjustRightInd w:val="0"/>
        <w:rPr>
          <w:rFonts w:asciiTheme="majorHAnsi" w:eastAsia="Times New Roman" w:hAnsiTheme="majorHAnsi" w:cs="Arial"/>
          <w:b/>
          <w:bCs/>
          <w:color w:val="000000" w:themeColor="text1"/>
          <w:kern w:val="24"/>
          <w:szCs w:val="32"/>
          <w:lang w:eastAsia="en-GB"/>
        </w:rPr>
      </w:pPr>
    </w:p>
    <w:p w:rsidR="008812E9" w:rsidRDefault="008812E9">
      <w:pPr>
        <w:autoSpaceDE w:val="0"/>
        <w:autoSpaceDN w:val="0"/>
        <w:adjustRightInd w:val="0"/>
        <w:rPr>
          <w:rFonts w:asciiTheme="majorHAnsi" w:eastAsia="Times New Roman" w:hAnsiTheme="majorHAnsi" w:cs="Arial"/>
          <w:b/>
          <w:bCs/>
          <w:color w:val="000000" w:themeColor="text1"/>
          <w:kern w:val="24"/>
          <w:szCs w:val="32"/>
          <w:lang w:eastAsia="en-GB"/>
        </w:rPr>
      </w:pPr>
    </w:p>
    <w:p w:rsidR="008812E9" w:rsidRDefault="008812E9">
      <w:pPr>
        <w:autoSpaceDE w:val="0"/>
        <w:autoSpaceDN w:val="0"/>
        <w:adjustRightInd w:val="0"/>
        <w:rPr>
          <w:rFonts w:asciiTheme="majorHAnsi" w:eastAsia="Times New Roman" w:hAnsiTheme="majorHAnsi" w:cs="Arial"/>
          <w:b/>
          <w:bCs/>
          <w:color w:val="000000" w:themeColor="text1"/>
          <w:kern w:val="24"/>
          <w:szCs w:val="32"/>
          <w:lang w:eastAsia="en-GB"/>
        </w:rPr>
      </w:pPr>
    </w:p>
    <w:p w:rsidR="008812E9" w:rsidRDefault="00254B6B">
      <w:pPr>
        <w:autoSpaceDE w:val="0"/>
        <w:autoSpaceDN w:val="0"/>
        <w:adjustRightInd w:val="0"/>
        <w:rPr>
          <w:rFonts w:asciiTheme="majorHAnsi" w:hAnsiTheme="majorHAnsi" w:cstheme="minorHAnsi"/>
          <w:color w:val="000000"/>
        </w:rPr>
      </w:pPr>
      <w:r>
        <w:rPr>
          <w:rFonts w:asciiTheme="majorHAnsi" w:eastAsia="Times New Roman" w:hAnsiTheme="majorHAnsi" w:cs="Arial"/>
          <w:b/>
          <w:bCs/>
          <w:noProof/>
          <w:color w:val="000000" w:themeColor="text1"/>
          <w:kern w:val="24"/>
          <w:szCs w:val="32"/>
          <w:lang w:eastAsia="en-GB"/>
        </w:rPr>
        <w:lastRenderedPageBreak/>
        <w:drawing>
          <wp:inline distT="0" distB="0" distL="0" distR="0">
            <wp:extent cx="5608320" cy="15716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4843" b="6351"/>
                    <a:stretch/>
                  </pic:blipFill>
                  <pic:spPr bwMode="auto">
                    <a:xfrm>
                      <a:off x="0" y="0"/>
                      <a:ext cx="5608320" cy="1571625"/>
                    </a:xfrm>
                    <a:prstGeom prst="rect">
                      <a:avLst/>
                    </a:prstGeom>
                    <a:noFill/>
                    <a:ln>
                      <a:noFill/>
                    </a:ln>
                    <a:extLst>
                      <a:ext uri="{53640926-AAD7-44D8-BBD7-CCE9431645EC}">
                        <a14:shadowObscured xmlns:a14="http://schemas.microsoft.com/office/drawing/2010/main"/>
                      </a:ext>
                    </a:extLst>
                  </pic:spPr>
                </pic:pic>
              </a:graphicData>
            </a:graphic>
          </wp:inline>
        </w:drawing>
      </w:r>
    </w:p>
    <w:p w:rsidR="008812E9" w:rsidRDefault="008812E9">
      <w:pPr>
        <w:rPr>
          <w:rFonts w:asciiTheme="majorHAnsi" w:hAnsiTheme="majorHAnsi"/>
        </w:rPr>
      </w:pPr>
    </w:p>
    <w:p w:rsidR="008812E9" w:rsidRDefault="00254B6B">
      <w:pPr>
        <w:rPr>
          <w:rFonts w:asciiTheme="majorHAnsi" w:hAnsiTheme="majorHAnsi"/>
        </w:rPr>
      </w:pPr>
      <w:r>
        <w:rPr>
          <w:rFonts w:asciiTheme="majorHAnsi" w:hAnsiTheme="majorHAnsi"/>
        </w:rPr>
        <w:t>The Progress 8 score is determined by dividing the points total by 10 (the eight qualifications with</w:t>
      </w:r>
      <w:r>
        <w:rPr>
          <w:rFonts w:asciiTheme="majorHAnsi" w:hAnsiTheme="majorHAnsi"/>
        </w:rPr>
        <w:t xml:space="preserve"> English and Mathematics double counting) then calculating the difference between their estimated points (using Key Stage 2 SATs scores) and actual points.  If they score ‘0’ then they achieved in line with expectations; if they achieve a positive score th</w:t>
      </w:r>
      <w:r>
        <w:rPr>
          <w:rFonts w:asciiTheme="majorHAnsi" w:hAnsiTheme="majorHAnsi"/>
        </w:rPr>
        <w:t>en they exceeded their expectations and so on.</w:t>
      </w:r>
    </w:p>
    <w:p w:rsidR="008812E9" w:rsidRDefault="008812E9">
      <w:pPr>
        <w:rPr>
          <w:rFonts w:asciiTheme="majorHAnsi" w:hAnsiTheme="majorHAnsi"/>
        </w:rPr>
      </w:pPr>
    </w:p>
    <w:tbl>
      <w:tblPr>
        <w:tblW w:w="5000" w:type="pct"/>
        <w:tblLook w:val="0420" w:firstRow="1" w:lastRow="0" w:firstColumn="0" w:lastColumn="0" w:noHBand="0" w:noVBand="1"/>
      </w:tblPr>
      <w:tblGrid>
        <w:gridCol w:w="2434"/>
        <w:gridCol w:w="2436"/>
        <w:gridCol w:w="2435"/>
        <w:gridCol w:w="2435"/>
      </w:tblGrid>
      <w:tr w:rsidR="008812E9">
        <w:trPr>
          <w:trHeight w:val="457"/>
        </w:trPr>
        <w:tc>
          <w:tcPr>
            <w:tcW w:w="1249" w:type="pct"/>
            <w:tcBorders>
              <w:top w:val="single" w:sz="18" w:space="0" w:color="auto"/>
              <w:bottom w:val="single" w:sz="18" w:space="0" w:color="auto"/>
            </w:tcBorders>
            <w:shd w:val="clear" w:color="auto" w:fill="C0504D" w:themeFill="accent2"/>
            <w:vAlign w:val="center"/>
          </w:tcPr>
          <w:p w:rsidR="008812E9" w:rsidRDefault="008812E9">
            <w:pPr>
              <w:jc w:val="center"/>
              <w:rPr>
                <w:rFonts w:asciiTheme="majorHAnsi" w:eastAsia="Times New Roman" w:hAnsiTheme="majorHAnsi" w:cs="Arial"/>
                <w:b/>
                <w:color w:val="000000" w:themeColor="text1"/>
                <w:szCs w:val="36"/>
                <w:lang w:eastAsia="en-GB"/>
              </w:rPr>
            </w:pP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2016</w:t>
            </w: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2017</w:t>
            </w: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2018</w:t>
            </w:r>
          </w:p>
        </w:tc>
      </w:tr>
      <w:tr w:rsidR="008812E9">
        <w:trPr>
          <w:trHeight w:val="294"/>
        </w:trPr>
        <w:tc>
          <w:tcPr>
            <w:tcW w:w="1249" w:type="pct"/>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Progress 8</w:t>
            </w:r>
          </w:p>
        </w:tc>
        <w:tc>
          <w:tcPr>
            <w:tcW w:w="1250" w:type="pct"/>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+0.180</w:t>
            </w:r>
          </w:p>
        </w:tc>
        <w:tc>
          <w:tcPr>
            <w:tcW w:w="1250" w:type="pct"/>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+0.140</w:t>
            </w:r>
          </w:p>
        </w:tc>
        <w:tc>
          <w:tcPr>
            <w:tcW w:w="1250" w:type="pct"/>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+0.002</w:t>
            </w:r>
          </w:p>
        </w:tc>
      </w:tr>
    </w:tbl>
    <w:p w:rsidR="008812E9" w:rsidRDefault="008812E9">
      <w:pPr>
        <w:rPr>
          <w:rFonts w:asciiTheme="majorHAnsi" w:hAnsiTheme="majorHAnsi"/>
        </w:rPr>
      </w:pPr>
    </w:p>
    <w:p w:rsidR="008812E9" w:rsidRDefault="00254B6B">
      <w:pPr>
        <w:rPr>
          <w:rFonts w:asciiTheme="majorHAnsi" w:hAnsiTheme="majorHAnsi"/>
        </w:rPr>
      </w:pPr>
      <w:r>
        <w:rPr>
          <w:rFonts w:asciiTheme="majorHAnsi" w:hAnsiTheme="majorHAnsi"/>
        </w:rPr>
        <w:t>The results show that, for the third consecutive year, CCHS has achieved a positive Progress 8 score, meaning that, on average, students are attaining grades that are above what would be expected of them if they were to be making nationally expected progre</w:t>
      </w:r>
      <w:r>
        <w:rPr>
          <w:rFonts w:asciiTheme="majorHAnsi" w:hAnsiTheme="majorHAnsi"/>
        </w:rPr>
        <w:t xml:space="preserve">ss. </w:t>
      </w:r>
    </w:p>
    <w:p w:rsidR="008812E9" w:rsidRDefault="008812E9">
      <w:pPr>
        <w:rPr>
          <w:rFonts w:asciiTheme="majorHAnsi" w:hAnsiTheme="majorHAnsi"/>
        </w:rPr>
      </w:pPr>
    </w:p>
    <w:p w:rsidR="008812E9" w:rsidRDefault="00254B6B">
      <w:pPr>
        <w:rPr>
          <w:rFonts w:asciiTheme="majorHAnsi" w:hAnsiTheme="majorHAnsi"/>
        </w:rPr>
      </w:pPr>
      <w:r>
        <w:rPr>
          <w:rFonts w:asciiTheme="majorHAnsi" w:hAnsiTheme="majorHAnsi"/>
        </w:rPr>
        <w:t xml:space="preserve">Cannock Chase High School is the only school in Cannock &amp; Rugeley to achieve a positive Progress 8 score for three consecutive years. </w:t>
      </w:r>
    </w:p>
    <w:p w:rsidR="008812E9" w:rsidRDefault="008812E9">
      <w:pPr>
        <w:rPr>
          <w:rFonts w:asciiTheme="majorHAnsi" w:hAnsiTheme="majorHAnsi"/>
        </w:rPr>
      </w:pPr>
    </w:p>
    <w:p w:rsidR="008812E9" w:rsidRDefault="00254B6B">
      <w:pPr>
        <w:rPr>
          <w:rFonts w:asciiTheme="majorHAnsi" w:hAnsiTheme="majorHAnsi"/>
          <w:b/>
        </w:rPr>
      </w:pPr>
      <w:r>
        <w:rPr>
          <w:rFonts w:asciiTheme="majorHAnsi" w:hAnsiTheme="majorHAnsi"/>
          <w:b/>
        </w:rPr>
        <w:t>BASICS MEASURE</w:t>
      </w:r>
    </w:p>
    <w:p w:rsidR="008812E9" w:rsidRDefault="008812E9">
      <w:pPr>
        <w:rPr>
          <w:rFonts w:asciiTheme="majorHAnsi" w:hAnsiTheme="majorHAnsi"/>
          <w:b/>
        </w:rPr>
      </w:pPr>
    </w:p>
    <w:p w:rsidR="008812E9" w:rsidRDefault="00254B6B">
      <w:pPr>
        <w:rPr>
          <w:rFonts w:asciiTheme="majorHAnsi" w:hAnsiTheme="majorHAnsi"/>
        </w:rPr>
      </w:pPr>
      <w:r>
        <w:rPr>
          <w:rFonts w:asciiTheme="majorHAnsi" w:hAnsiTheme="majorHAnsi"/>
        </w:rPr>
        <w:t>The ‘Basics Measure’ indicates the attainment of students in English and Mathematics, irrespective</w:t>
      </w:r>
      <w:r>
        <w:rPr>
          <w:rFonts w:asciiTheme="majorHAnsi" w:hAnsiTheme="majorHAnsi"/>
        </w:rPr>
        <w:t xml:space="preserve"> of their Key Stage 2 start-point.  Traditionally, this measure has indicated the percentage of students achieving A*-C grades.  Following the reforms made to the grading system in 2017, this measure now indicates the percentage of students achieving grade</w:t>
      </w:r>
      <w:r>
        <w:rPr>
          <w:rFonts w:asciiTheme="majorHAnsi" w:hAnsiTheme="majorHAnsi"/>
        </w:rPr>
        <w:t xml:space="preserve">s 9-4 (standard pass) and grades 9-5 (strong pass) in English and Mathematics. </w:t>
      </w:r>
    </w:p>
    <w:p w:rsidR="008812E9" w:rsidRDefault="008812E9">
      <w:pPr>
        <w:rPr>
          <w:rFonts w:asciiTheme="majorHAnsi" w:hAnsiTheme="majorHAnsi"/>
        </w:rPr>
      </w:pPr>
    </w:p>
    <w:p w:rsidR="008812E9" w:rsidRDefault="00254B6B">
      <w:pPr>
        <w:rPr>
          <w:rFonts w:asciiTheme="majorHAnsi" w:hAnsiTheme="majorHAnsi"/>
        </w:rPr>
      </w:pPr>
      <w:r>
        <w:rPr>
          <w:rFonts w:asciiTheme="majorHAnsi" w:hAnsiTheme="majorHAnsi"/>
        </w:rPr>
        <w:t xml:space="preserve">The system of comparable outcomes does mean that, relative to their start-point, the same proportion of students achieved grades 9-4 in 2017 as achieved grades A*-C in 2016.  </w:t>
      </w:r>
      <w:r>
        <w:rPr>
          <w:rFonts w:asciiTheme="majorHAnsi" w:hAnsiTheme="majorHAnsi"/>
        </w:rPr>
        <w:t xml:space="preserve">Therefore, historical data is comparable for the 9-4 measure, but not the 9-5. </w:t>
      </w:r>
    </w:p>
    <w:p w:rsidR="008812E9" w:rsidRDefault="008812E9">
      <w:pPr>
        <w:rPr>
          <w:rFonts w:asciiTheme="majorHAnsi" w:hAnsiTheme="majorHAnsi"/>
          <w:b/>
        </w:rPr>
      </w:pPr>
    </w:p>
    <w:tbl>
      <w:tblPr>
        <w:tblW w:w="5000" w:type="pct"/>
        <w:tblLook w:val="0420" w:firstRow="1" w:lastRow="0" w:firstColumn="0" w:lastColumn="0" w:noHBand="0" w:noVBand="1"/>
      </w:tblPr>
      <w:tblGrid>
        <w:gridCol w:w="3131"/>
        <w:gridCol w:w="1739"/>
        <w:gridCol w:w="2435"/>
        <w:gridCol w:w="2435"/>
      </w:tblGrid>
      <w:tr w:rsidR="008812E9">
        <w:trPr>
          <w:trHeight w:val="457"/>
        </w:trPr>
        <w:tc>
          <w:tcPr>
            <w:tcW w:w="1607" w:type="pct"/>
            <w:tcBorders>
              <w:top w:val="single" w:sz="18" w:space="0" w:color="auto"/>
              <w:bottom w:val="single" w:sz="18" w:space="0" w:color="auto"/>
            </w:tcBorders>
            <w:shd w:val="clear" w:color="auto" w:fill="C0504D" w:themeFill="accent2"/>
            <w:vAlign w:val="center"/>
          </w:tcPr>
          <w:p w:rsidR="008812E9" w:rsidRDefault="008812E9">
            <w:pPr>
              <w:jc w:val="center"/>
              <w:rPr>
                <w:rFonts w:asciiTheme="majorHAnsi" w:eastAsia="Times New Roman" w:hAnsiTheme="majorHAnsi" w:cs="Arial"/>
                <w:color w:val="000000" w:themeColor="text1"/>
                <w:szCs w:val="36"/>
                <w:lang w:eastAsia="en-GB"/>
              </w:rPr>
            </w:pPr>
          </w:p>
        </w:tc>
        <w:tc>
          <w:tcPr>
            <w:tcW w:w="892"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2016</w:t>
            </w: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2017</w:t>
            </w: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szCs w:val="32"/>
                <w:lang w:eastAsia="en-GB"/>
              </w:rPr>
              <w:t>CCHS 2018</w:t>
            </w:r>
          </w:p>
        </w:tc>
      </w:tr>
      <w:tr w:rsidR="008812E9">
        <w:trPr>
          <w:trHeight w:val="294"/>
        </w:trPr>
        <w:tc>
          <w:tcPr>
            <w:tcW w:w="1607" w:type="pct"/>
            <w:tcBorders>
              <w:top w:val="single" w:sz="18" w:space="0" w:color="auto"/>
              <w:bottom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 A*-C/9-4 in Eng/Maths</w:t>
            </w:r>
          </w:p>
        </w:tc>
        <w:tc>
          <w:tcPr>
            <w:tcW w:w="892" w:type="pct"/>
            <w:tcBorders>
              <w:top w:val="single" w:sz="18" w:space="0" w:color="auto"/>
              <w:bottom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51%</w:t>
            </w:r>
          </w:p>
        </w:tc>
        <w:tc>
          <w:tcPr>
            <w:tcW w:w="1250" w:type="pct"/>
            <w:tcBorders>
              <w:top w:val="single" w:sz="18" w:space="0" w:color="auto"/>
              <w:bottom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60%</w:t>
            </w:r>
          </w:p>
        </w:tc>
        <w:tc>
          <w:tcPr>
            <w:tcW w:w="1250" w:type="pct"/>
            <w:tcBorders>
              <w:top w:val="single" w:sz="18" w:space="0" w:color="auto"/>
              <w:bottom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59%</w:t>
            </w:r>
          </w:p>
        </w:tc>
      </w:tr>
      <w:tr w:rsidR="008812E9">
        <w:trPr>
          <w:trHeight w:val="294"/>
        </w:trPr>
        <w:tc>
          <w:tcPr>
            <w:tcW w:w="1607" w:type="pct"/>
            <w:tcBorders>
              <w:top w:val="single" w:sz="18" w:space="0" w:color="auto"/>
            </w:tcBorders>
            <w:vAlign w:val="center"/>
          </w:tcPr>
          <w:p w:rsidR="008812E9" w:rsidRDefault="00254B6B">
            <w:pPr>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 9-5 in Eng/Maths</w:t>
            </w:r>
          </w:p>
        </w:tc>
        <w:tc>
          <w:tcPr>
            <w:tcW w:w="892" w:type="pct"/>
            <w:tcBorders>
              <w:top w:val="single" w:sz="18" w:space="0" w:color="auto"/>
            </w:tcBorders>
            <w:vAlign w:val="center"/>
          </w:tcPr>
          <w:p w:rsidR="008812E9" w:rsidRDefault="00254B6B">
            <w:pPr>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w:t>
            </w:r>
          </w:p>
        </w:tc>
        <w:tc>
          <w:tcPr>
            <w:tcW w:w="1250" w:type="pct"/>
            <w:tcBorders>
              <w:top w:val="single" w:sz="18" w:space="0" w:color="auto"/>
            </w:tcBorders>
            <w:vAlign w:val="center"/>
          </w:tcPr>
          <w:p w:rsidR="008812E9" w:rsidRDefault="00254B6B">
            <w:pPr>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31%</w:t>
            </w:r>
          </w:p>
        </w:tc>
        <w:tc>
          <w:tcPr>
            <w:tcW w:w="1250" w:type="pct"/>
            <w:tcBorders>
              <w:top w:val="single" w:sz="18" w:space="0" w:color="auto"/>
            </w:tcBorders>
            <w:vAlign w:val="center"/>
          </w:tcPr>
          <w:p w:rsidR="008812E9" w:rsidRDefault="00254B6B">
            <w:pPr>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35%</w:t>
            </w:r>
          </w:p>
        </w:tc>
      </w:tr>
    </w:tbl>
    <w:p w:rsidR="008812E9" w:rsidRDefault="008812E9">
      <w:pPr>
        <w:rPr>
          <w:rFonts w:asciiTheme="majorHAnsi" w:hAnsiTheme="majorHAnsi"/>
          <w:b/>
        </w:rPr>
      </w:pPr>
    </w:p>
    <w:p w:rsidR="008812E9" w:rsidRDefault="008812E9">
      <w:pPr>
        <w:rPr>
          <w:rFonts w:asciiTheme="majorHAnsi" w:hAnsiTheme="majorHAnsi"/>
          <w:b/>
        </w:rPr>
      </w:pPr>
    </w:p>
    <w:p w:rsidR="008812E9" w:rsidRDefault="008812E9">
      <w:pPr>
        <w:rPr>
          <w:rFonts w:asciiTheme="majorHAnsi" w:hAnsiTheme="majorHAnsi"/>
          <w:b/>
        </w:rPr>
      </w:pPr>
    </w:p>
    <w:p w:rsidR="008812E9" w:rsidRDefault="008812E9">
      <w:pPr>
        <w:rPr>
          <w:rFonts w:asciiTheme="majorHAnsi" w:hAnsiTheme="majorHAnsi"/>
          <w:b/>
        </w:rPr>
      </w:pPr>
    </w:p>
    <w:p w:rsidR="008812E9" w:rsidRDefault="00254B6B">
      <w:pPr>
        <w:rPr>
          <w:rFonts w:asciiTheme="majorHAnsi" w:hAnsiTheme="majorHAnsi"/>
          <w:b/>
        </w:rPr>
      </w:pPr>
      <w:r>
        <w:rPr>
          <w:rFonts w:asciiTheme="majorHAnsi" w:hAnsiTheme="majorHAnsi"/>
          <w:b/>
        </w:rPr>
        <w:lastRenderedPageBreak/>
        <w:t xml:space="preserve">AVERAGE TOTAL ATTAINMENT 8 </w:t>
      </w:r>
    </w:p>
    <w:p w:rsidR="008812E9" w:rsidRDefault="008812E9">
      <w:pPr>
        <w:rPr>
          <w:rFonts w:asciiTheme="majorHAnsi" w:hAnsiTheme="majorHAnsi"/>
          <w:b/>
        </w:rPr>
      </w:pPr>
    </w:p>
    <w:p w:rsidR="008812E9" w:rsidRDefault="00254B6B">
      <w:pPr>
        <w:rPr>
          <w:rFonts w:asciiTheme="majorHAnsi" w:hAnsiTheme="majorHAnsi"/>
        </w:rPr>
      </w:pPr>
      <w:r>
        <w:rPr>
          <w:rFonts w:asciiTheme="majorHAnsi" w:hAnsiTheme="majorHAnsi"/>
        </w:rPr>
        <w:t xml:space="preserve">The ‘Average Total Attainment 8’ measure indicates the average total of Attainment 8 points scored by a student, with each qualification grade being worth a particular number of Attainment 8 points. </w:t>
      </w:r>
    </w:p>
    <w:p w:rsidR="008812E9" w:rsidRDefault="008812E9">
      <w:pPr>
        <w:rPr>
          <w:rFonts w:asciiTheme="majorHAnsi" w:hAnsiTheme="majorHAnsi"/>
        </w:rPr>
      </w:pPr>
    </w:p>
    <w:p w:rsidR="008812E9" w:rsidRDefault="00254B6B">
      <w:pPr>
        <w:rPr>
          <w:rFonts w:asciiTheme="majorHAnsi" w:hAnsiTheme="majorHAnsi"/>
        </w:rPr>
      </w:pPr>
      <w:r>
        <w:rPr>
          <w:rFonts w:asciiTheme="majorHAnsi" w:hAnsiTheme="majorHAnsi"/>
        </w:rPr>
        <w:t>Due to a change in methodology in 2017, the 2017 Averag</w:t>
      </w:r>
      <w:r>
        <w:rPr>
          <w:rFonts w:asciiTheme="majorHAnsi" w:hAnsiTheme="majorHAnsi"/>
        </w:rPr>
        <w:t xml:space="preserve">e Total Attainment 8 points score is not comparable with historical data. </w:t>
      </w:r>
    </w:p>
    <w:p w:rsidR="008812E9" w:rsidRDefault="008812E9">
      <w:pPr>
        <w:rPr>
          <w:rFonts w:asciiTheme="majorHAnsi" w:hAnsiTheme="majorHAnsi"/>
          <w:b/>
        </w:rPr>
      </w:pPr>
    </w:p>
    <w:tbl>
      <w:tblPr>
        <w:tblW w:w="5000" w:type="pct"/>
        <w:tblLook w:val="0420" w:firstRow="1" w:lastRow="0" w:firstColumn="0" w:lastColumn="0" w:noHBand="0" w:noVBand="1"/>
      </w:tblPr>
      <w:tblGrid>
        <w:gridCol w:w="2121"/>
        <w:gridCol w:w="2749"/>
        <w:gridCol w:w="2435"/>
        <w:gridCol w:w="2435"/>
      </w:tblGrid>
      <w:tr w:rsidR="008812E9">
        <w:trPr>
          <w:trHeight w:val="457"/>
        </w:trPr>
        <w:tc>
          <w:tcPr>
            <w:tcW w:w="1089" w:type="pct"/>
            <w:tcBorders>
              <w:top w:val="single" w:sz="18" w:space="0" w:color="auto"/>
              <w:bottom w:val="single" w:sz="18" w:space="0" w:color="auto"/>
            </w:tcBorders>
            <w:shd w:val="clear" w:color="auto" w:fill="C0504D" w:themeFill="accent2"/>
            <w:vAlign w:val="center"/>
          </w:tcPr>
          <w:p w:rsidR="008812E9" w:rsidRDefault="008812E9">
            <w:pPr>
              <w:jc w:val="center"/>
              <w:rPr>
                <w:rFonts w:asciiTheme="majorHAnsi" w:eastAsia="Times New Roman" w:hAnsiTheme="majorHAnsi" w:cs="Arial"/>
                <w:color w:val="000000" w:themeColor="text1"/>
                <w:szCs w:val="36"/>
                <w:lang w:eastAsia="en-GB"/>
              </w:rPr>
            </w:pPr>
          </w:p>
        </w:tc>
        <w:tc>
          <w:tcPr>
            <w:tcW w:w="1411"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CCHS 2016</w:t>
            </w:r>
          </w:p>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 w:val="16"/>
                <w:szCs w:val="32"/>
                <w:lang w:eastAsia="en-GB"/>
              </w:rPr>
              <w:t>(not comparable to 2017 OR 2018 due to change in points methodology)</w:t>
            </w: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2017</w:t>
            </w:r>
          </w:p>
        </w:tc>
        <w:tc>
          <w:tcPr>
            <w:tcW w:w="1250" w:type="pct"/>
            <w:tcBorders>
              <w:top w:val="single" w:sz="18" w:space="0" w:color="auto"/>
              <w:bottom w:val="single" w:sz="18" w:space="0" w:color="auto"/>
            </w:tcBorders>
            <w:shd w:val="clear" w:color="auto" w:fill="C0504D" w:themeFill="accent2"/>
            <w:vAlign w:val="center"/>
          </w:tcPr>
          <w:p w:rsidR="008812E9" w:rsidRDefault="00254B6B">
            <w:pPr>
              <w:jc w:val="center"/>
              <w:rPr>
                <w:rFonts w:asciiTheme="majorHAnsi" w:eastAsia="Times New Roman" w:hAnsiTheme="majorHAnsi" w:cs="Arial"/>
                <w:b/>
                <w:color w:val="000000" w:themeColor="text1"/>
                <w:sz w:val="16"/>
                <w:szCs w:val="32"/>
                <w:lang w:eastAsia="en-GB"/>
              </w:rPr>
            </w:pPr>
            <w:r>
              <w:rPr>
                <w:rFonts w:asciiTheme="majorHAnsi" w:eastAsia="Times New Roman" w:hAnsiTheme="majorHAnsi" w:cs="Arial"/>
                <w:b/>
                <w:color w:val="000000" w:themeColor="text1"/>
                <w:kern w:val="24"/>
                <w:szCs w:val="32"/>
                <w:lang w:eastAsia="en-GB"/>
              </w:rPr>
              <w:t>CCHS 2018</w:t>
            </w:r>
            <w:r>
              <w:rPr>
                <w:rFonts w:asciiTheme="majorHAnsi" w:eastAsia="Times New Roman" w:hAnsiTheme="majorHAnsi" w:cs="Arial"/>
                <w:b/>
                <w:color w:val="000000" w:themeColor="text1"/>
                <w:kern w:val="24"/>
                <w:sz w:val="16"/>
                <w:szCs w:val="32"/>
                <w:lang w:eastAsia="en-GB"/>
              </w:rPr>
              <w:t xml:space="preserve"> </w:t>
            </w:r>
          </w:p>
        </w:tc>
      </w:tr>
      <w:tr w:rsidR="008812E9">
        <w:trPr>
          <w:trHeight w:val="294"/>
        </w:trPr>
        <w:tc>
          <w:tcPr>
            <w:tcW w:w="1089" w:type="pct"/>
            <w:tcBorders>
              <w:top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Attainment 8</w:t>
            </w:r>
          </w:p>
        </w:tc>
        <w:tc>
          <w:tcPr>
            <w:tcW w:w="1411" w:type="pct"/>
            <w:tcBorders>
              <w:top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50.58</w:t>
            </w:r>
          </w:p>
        </w:tc>
        <w:tc>
          <w:tcPr>
            <w:tcW w:w="1250" w:type="pct"/>
            <w:tcBorders>
              <w:top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46.26</w:t>
            </w:r>
          </w:p>
        </w:tc>
        <w:tc>
          <w:tcPr>
            <w:tcW w:w="1250" w:type="pct"/>
            <w:tcBorders>
              <w:top w:val="single" w:sz="18" w:space="0" w:color="auto"/>
            </w:tcBorders>
            <w:vAlign w:val="center"/>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44.94</w:t>
            </w:r>
          </w:p>
        </w:tc>
      </w:tr>
    </w:tbl>
    <w:p w:rsidR="008812E9" w:rsidRDefault="008812E9">
      <w:pPr>
        <w:rPr>
          <w:rFonts w:asciiTheme="majorHAnsi" w:hAnsiTheme="majorHAnsi"/>
          <w:b/>
        </w:rPr>
      </w:pPr>
    </w:p>
    <w:p w:rsidR="008812E9" w:rsidRDefault="00254B6B">
      <w:pPr>
        <w:rPr>
          <w:rFonts w:asciiTheme="majorHAnsi" w:hAnsiTheme="majorHAnsi"/>
          <w:b/>
          <w:color w:val="0B0C0C"/>
          <w:szCs w:val="30"/>
          <w:shd w:val="clear" w:color="auto" w:fill="FFFFFF"/>
        </w:rPr>
      </w:pPr>
      <w:r>
        <w:rPr>
          <w:rFonts w:asciiTheme="majorHAnsi" w:hAnsiTheme="majorHAnsi"/>
          <w:b/>
        </w:rPr>
        <w:t xml:space="preserve">ENGLISH </w:t>
      </w:r>
      <w:r>
        <w:rPr>
          <w:rFonts w:asciiTheme="majorHAnsi" w:hAnsiTheme="majorHAnsi"/>
          <w:b/>
          <w:color w:val="0B0C0C"/>
          <w:szCs w:val="30"/>
          <w:shd w:val="clear" w:color="auto" w:fill="FFFFFF"/>
        </w:rPr>
        <w:t>BACCALAUREATE</w:t>
      </w:r>
    </w:p>
    <w:p w:rsidR="008812E9" w:rsidRDefault="008812E9">
      <w:pPr>
        <w:rPr>
          <w:rFonts w:asciiTheme="majorHAnsi" w:hAnsiTheme="majorHAnsi"/>
          <w:b/>
          <w:color w:val="0B0C0C"/>
          <w:szCs w:val="30"/>
          <w:shd w:val="clear" w:color="auto" w:fill="FFFFFF"/>
        </w:rPr>
      </w:pPr>
    </w:p>
    <w:p w:rsidR="008812E9" w:rsidRDefault="00254B6B">
      <w:pPr>
        <w:rPr>
          <w:rFonts w:asciiTheme="majorHAnsi" w:hAnsiTheme="majorHAnsi"/>
          <w:color w:val="0B0C0C"/>
          <w:szCs w:val="30"/>
          <w:shd w:val="clear" w:color="auto" w:fill="FFFFFF"/>
        </w:rPr>
      </w:pPr>
      <w:r>
        <w:rPr>
          <w:rFonts w:asciiTheme="majorHAnsi" w:hAnsiTheme="majorHAnsi"/>
          <w:color w:val="0B0C0C"/>
          <w:szCs w:val="30"/>
          <w:shd w:val="clear" w:color="auto" w:fill="FFFFFF"/>
        </w:rPr>
        <w:t>The English Baccalaureate (EBacc) is a suite of qualifications made up of English, Mathematics, History or Geography, the sciences and a language.  From 2017, students who achieve the EBacc are those who have achieved the qualifications from the suite at g</w:t>
      </w:r>
      <w:r>
        <w:rPr>
          <w:rFonts w:asciiTheme="majorHAnsi" w:hAnsiTheme="majorHAnsi"/>
          <w:color w:val="0B0C0C"/>
          <w:szCs w:val="30"/>
          <w:shd w:val="clear" w:color="auto" w:fill="FFFFFF"/>
        </w:rPr>
        <w:t xml:space="preserve">rades C/5 or above. </w:t>
      </w:r>
    </w:p>
    <w:p w:rsidR="008812E9" w:rsidRDefault="008812E9">
      <w:pPr>
        <w:rPr>
          <w:rFonts w:asciiTheme="majorHAnsi" w:hAnsiTheme="majorHAnsi"/>
          <w:color w:val="0B0C0C"/>
          <w:szCs w:val="30"/>
          <w:shd w:val="clear" w:color="auto" w:fill="FFFFFF"/>
        </w:rPr>
      </w:pPr>
    </w:p>
    <w:p w:rsidR="008812E9" w:rsidRDefault="00254B6B">
      <w:pPr>
        <w:rPr>
          <w:rFonts w:asciiTheme="majorHAnsi" w:hAnsiTheme="majorHAnsi"/>
          <w:color w:val="0B0C0C"/>
          <w:szCs w:val="30"/>
          <w:shd w:val="clear" w:color="auto" w:fill="FFFFFF"/>
        </w:rPr>
      </w:pPr>
      <w:r>
        <w:rPr>
          <w:rFonts w:asciiTheme="majorHAnsi" w:hAnsiTheme="majorHAnsi"/>
          <w:color w:val="0B0C0C"/>
          <w:szCs w:val="30"/>
          <w:shd w:val="clear" w:color="auto" w:fill="FFFFFF"/>
        </w:rPr>
        <w:t>At Cannock Chase High School, the opportunity has been and remains available to all students to study the EBacc suite of qualifications as part of the students’ Key Stage 4 curriculum, though historically only a small percentage of th</w:t>
      </w:r>
      <w:r>
        <w:rPr>
          <w:rFonts w:asciiTheme="majorHAnsi" w:hAnsiTheme="majorHAnsi"/>
          <w:color w:val="0B0C0C"/>
          <w:szCs w:val="30"/>
          <w:shd w:val="clear" w:color="auto" w:fill="FFFFFF"/>
        </w:rPr>
        <w:t xml:space="preserve">e cohort have opted to do so as part of the options process at the end of Key Stage 3. </w:t>
      </w:r>
    </w:p>
    <w:p w:rsidR="008812E9" w:rsidRDefault="008812E9">
      <w:pPr>
        <w:rPr>
          <w:rFonts w:asciiTheme="majorHAnsi" w:hAnsiTheme="majorHAnsi"/>
          <w:b/>
        </w:rPr>
      </w:pPr>
    </w:p>
    <w:tbl>
      <w:tblPr>
        <w:tblW w:w="5000" w:type="pct"/>
        <w:tblLook w:val="0420" w:firstRow="1" w:lastRow="0" w:firstColumn="0" w:lastColumn="0" w:noHBand="0" w:noVBand="1"/>
      </w:tblPr>
      <w:tblGrid>
        <w:gridCol w:w="3131"/>
        <w:gridCol w:w="2203"/>
        <w:gridCol w:w="2203"/>
        <w:gridCol w:w="2203"/>
      </w:tblGrid>
      <w:tr w:rsidR="008812E9">
        <w:trPr>
          <w:trHeight w:val="457"/>
        </w:trPr>
        <w:tc>
          <w:tcPr>
            <w:tcW w:w="1607" w:type="pct"/>
            <w:tcBorders>
              <w:top w:val="single" w:sz="18" w:space="0" w:color="auto"/>
              <w:bottom w:val="single" w:sz="18" w:space="0" w:color="auto"/>
            </w:tcBorders>
            <w:shd w:val="clear" w:color="auto" w:fill="C0504D" w:themeFill="accent2"/>
            <w:vAlign w:val="center"/>
          </w:tcPr>
          <w:p w:rsidR="008812E9" w:rsidRDefault="008812E9">
            <w:pPr>
              <w:spacing w:before="2" w:after="2"/>
              <w:jc w:val="center"/>
              <w:rPr>
                <w:rFonts w:asciiTheme="majorHAnsi" w:eastAsia="Times New Roman" w:hAnsiTheme="majorHAnsi" w:cs="Arial"/>
                <w:color w:val="000000" w:themeColor="text1"/>
                <w:szCs w:val="36"/>
                <w:lang w:eastAsia="en-GB"/>
              </w:rPr>
            </w:pPr>
          </w:p>
        </w:tc>
        <w:tc>
          <w:tcPr>
            <w:tcW w:w="1131" w:type="pct"/>
            <w:tcBorders>
              <w:top w:val="single" w:sz="18" w:space="0" w:color="auto"/>
              <w:bottom w:val="single" w:sz="18" w:space="0" w:color="auto"/>
            </w:tcBorders>
            <w:shd w:val="clear" w:color="auto" w:fill="C0504D" w:themeFill="accent2"/>
            <w:vAlign w:val="center"/>
          </w:tcPr>
          <w:p w:rsidR="008812E9" w:rsidRDefault="00254B6B">
            <w:pPr>
              <w:spacing w:before="2" w:after="2"/>
              <w:jc w:val="center"/>
              <w:rPr>
                <w:rFonts w:asciiTheme="majorHAnsi" w:eastAsia="Times New Roman" w:hAnsiTheme="majorHAnsi" w:cs="Arial"/>
                <w:b/>
                <w:color w:val="000000" w:themeColor="text1"/>
                <w:szCs w:val="32"/>
                <w:lang w:eastAsia="en-GB"/>
              </w:rPr>
            </w:pPr>
            <w:r>
              <w:rPr>
                <w:rFonts w:asciiTheme="majorHAnsi" w:eastAsia="Times New Roman" w:hAnsiTheme="majorHAnsi" w:cs="Arial"/>
                <w:b/>
                <w:color w:val="000000" w:themeColor="text1"/>
                <w:kern w:val="24"/>
                <w:szCs w:val="32"/>
                <w:lang w:eastAsia="en-GB"/>
              </w:rPr>
              <w:t>CCHS 2016</w:t>
            </w:r>
          </w:p>
        </w:tc>
        <w:tc>
          <w:tcPr>
            <w:tcW w:w="1131" w:type="pct"/>
            <w:tcBorders>
              <w:top w:val="single" w:sz="18" w:space="0" w:color="auto"/>
              <w:bottom w:val="single" w:sz="18" w:space="0" w:color="auto"/>
            </w:tcBorders>
            <w:shd w:val="clear" w:color="auto" w:fill="C0504D" w:themeFill="accent2"/>
            <w:vAlign w:val="center"/>
          </w:tcPr>
          <w:p w:rsidR="008812E9" w:rsidRDefault="00254B6B">
            <w:pPr>
              <w:spacing w:before="2" w:after="2"/>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CCHS 2017</w:t>
            </w:r>
          </w:p>
        </w:tc>
        <w:tc>
          <w:tcPr>
            <w:tcW w:w="1131" w:type="pct"/>
            <w:tcBorders>
              <w:top w:val="single" w:sz="18" w:space="0" w:color="auto"/>
              <w:bottom w:val="single" w:sz="18" w:space="0" w:color="auto"/>
            </w:tcBorders>
            <w:shd w:val="clear" w:color="auto" w:fill="C0504D" w:themeFill="accent2"/>
            <w:vAlign w:val="center"/>
          </w:tcPr>
          <w:p w:rsidR="008812E9" w:rsidRDefault="00254B6B">
            <w:pPr>
              <w:spacing w:before="2" w:after="2"/>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CCHS 2018</w:t>
            </w:r>
          </w:p>
        </w:tc>
      </w:tr>
      <w:tr w:rsidR="008812E9">
        <w:trPr>
          <w:trHeight w:val="294"/>
        </w:trPr>
        <w:tc>
          <w:tcPr>
            <w:tcW w:w="1607"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color w:val="000000" w:themeColor="text1"/>
                <w:kern w:val="24"/>
                <w:szCs w:val="32"/>
                <w:lang w:eastAsia="en-GB"/>
              </w:rPr>
              <w:t>% Entered for EBacc</w:t>
            </w:r>
          </w:p>
        </w:tc>
        <w:tc>
          <w:tcPr>
            <w:tcW w:w="1131"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8.3%</w:t>
            </w:r>
          </w:p>
        </w:tc>
        <w:tc>
          <w:tcPr>
            <w:tcW w:w="1131"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7.6%</w:t>
            </w:r>
          </w:p>
        </w:tc>
        <w:tc>
          <w:tcPr>
            <w:tcW w:w="1131"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8.2%</w:t>
            </w:r>
          </w:p>
        </w:tc>
      </w:tr>
      <w:tr w:rsidR="008812E9">
        <w:trPr>
          <w:trHeight w:val="294"/>
        </w:trPr>
        <w:tc>
          <w:tcPr>
            <w:tcW w:w="1607"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 Achieved EBacc at grade C/4 or above (standard pass)</w:t>
            </w:r>
          </w:p>
        </w:tc>
        <w:tc>
          <w:tcPr>
            <w:tcW w:w="1131"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4.7%</w:t>
            </w:r>
          </w:p>
        </w:tc>
        <w:tc>
          <w:tcPr>
            <w:tcW w:w="1131"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6.3%</w:t>
            </w:r>
          </w:p>
        </w:tc>
        <w:tc>
          <w:tcPr>
            <w:tcW w:w="1131" w:type="pct"/>
            <w:tcBorders>
              <w:top w:val="single" w:sz="18" w:space="0" w:color="auto"/>
              <w:bottom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6.2%</w:t>
            </w:r>
          </w:p>
        </w:tc>
      </w:tr>
      <w:tr w:rsidR="008812E9">
        <w:trPr>
          <w:trHeight w:val="294"/>
        </w:trPr>
        <w:tc>
          <w:tcPr>
            <w:tcW w:w="1607" w:type="pct"/>
            <w:tcBorders>
              <w:top w:val="single" w:sz="18" w:space="0" w:color="auto"/>
            </w:tcBorders>
            <w:vAlign w:val="center"/>
          </w:tcPr>
          <w:p w:rsidR="008812E9" w:rsidRDefault="00254B6B">
            <w:pPr>
              <w:spacing w:before="2" w:after="2"/>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color w:val="000000" w:themeColor="text1"/>
                <w:kern w:val="24"/>
                <w:szCs w:val="32"/>
                <w:lang w:eastAsia="en-GB"/>
              </w:rPr>
              <w:t xml:space="preserve">% Achieved EBacc at grade </w:t>
            </w:r>
            <w:r>
              <w:rPr>
                <w:rFonts w:asciiTheme="majorHAnsi" w:eastAsia="Times New Roman" w:hAnsiTheme="majorHAnsi" w:cs="Arial"/>
                <w:color w:val="000000" w:themeColor="text1"/>
                <w:kern w:val="24"/>
                <w:szCs w:val="32"/>
                <w:lang w:eastAsia="en-GB"/>
              </w:rPr>
              <w:t>C/5 or above (strong pass)</w:t>
            </w:r>
          </w:p>
        </w:tc>
        <w:tc>
          <w:tcPr>
            <w:tcW w:w="1131" w:type="pct"/>
            <w:tcBorders>
              <w:top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w:t>
            </w:r>
          </w:p>
        </w:tc>
        <w:tc>
          <w:tcPr>
            <w:tcW w:w="1131" w:type="pct"/>
            <w:tcBorders>
              <w:top w:val="single" w:sz="18" w:space="0" w:color="auto"/>
            </w:tcBorders>
            <w:vAlign w:val="center"/>
          </w:tcPr>
          <w:p w:rsidR="008812E9" w:rsidRDefault="00254B6B">
            <w:pPr>
              <w:spacing w:before="2" w:after="2"/>
              <w:jc w:val="center"/>
              <w:rPr>
                <w:rFonts w:asciiTheme="majorHAnsi" w:eastAsia="Times New Roman" w:hAnsiTheme="majorHAnsi" w:cs="Arial"/>
                <w:color w:val="000000" w:themeColor="text1"/>
                <w:kern w:val="24"/>
                <w:szCs w:val="32"/>
                <w:lang w:eastAsia="en-GB"/>
              </w:rPr>
            </w:pPr>
            <w:r>
              <w:rPr>
                <w:rFonts w:asciiTheme="majorHAnsi" w:eastAsia="Times New Roman" w:hAnsiTheme="majorHAnsi" w:cs="Arial"/>
                <w:szCs w:val="32"/>
                <w:lang w:eastAsia="en-GB"/>
              </w:rPr>
              <w:t>7.0%</w:t>
            </w:r>
          </w:p>
        </w:tc>
        <w:tc>
          <w:tcPr>
            <w:tcW w:w="1131" w:type="pct"/>
            <w:tcBorders>
              <w:top w:val="single" w:sz="18" w:space="0" w:color="auto"/>
            </w:tcBorders>
            <w:vAlign w:val="center"/>
          </w:tcPr>
          <w:p w:rsidR="008812E9" w:rsidRDefault="00254B6B">
            <w:pPr>
              <w:spacing w:before="2" w:after="2"/>
              <w:jc w:val="center"/>
              <w:rPr>
                <w:rFonts w:asciiTheme="majorHAnsi" w:eastAsia="Times New Roman" w:hAnsiTheme="majorHAnsi" w:cs="Arial"/>
                <w:szCs w:val="32"/>
                <w:lang w:eastAsia="en-GB"/>
              </w:rPr>
            </w:pPr>
            <w:r>
              <w:rPr>
                <w:rFonts w:asciiTheme="majorHAnsi" w:eastAsia="Times New Roman" w:hAnsiTheme="majorHAnsi" w:cs="Arial"/>
                <w:szCs w:val="32"/>
                <w:lang w:eastAsia="en-GB"/>
              </w:rPr>
              <w:t>4.1%</w:t>
            </w:r>
          </w:p>
        </w:tc>
      </w:tr>
    </w:tbl>
    <w:p w:rsidR="008812E9" w:rsidRDefault="008812E9">
      <w:pPr>
        <w:rPr>
          <w:rFonts w:asciiTheme="majorHAnsi" w:hAnsiTheme="majorHAnsi"/>
          <w:b/>
        </w:rPr>
      </w:pPr>
    </w:p>
    <w:p w:rsidR="008812E9" w:rsidRDefault="00254B6B">
      <w:pPr>
        <w:rPr>
          <w:rFonts w:asciiTheme="majorHAnsi" w:hAnsiTheme="majorHAnsi"/>
          <w:b/>
        </w:rPr>
      </w:pPr>
      <w:r>
        <w:rPr>
          <w:rFonts w:asciiTheme="majorHAnsi" w:hAnsiTheme="majorHAnsi"/>
          <w:b/>
        </w:rPr>
        <w:t>PERFORMANCE OF DISADVANTAGED STUDENTS</w:t>
      </w:r>
    </w:p>
    <w:p w:rsidR="008812E9" w:rsidRDefault="008812E9">
      <w:pPr>
        <w:rPr>
          <w:rFonts w:asciiTheme="majorHAnsi" w:hAnsiTheme="majorHAnsi"/>
          <w:b/>
        </w:rPr>
      </w:pPr>
    </w:p>
    <w:tbl>
      <w:tblPr>
        <w:tblW w:w="9808" w:type="dxa"/>
        <w:jc w:val="center"/>
        <w:tblLook w:val="0420" w:firstRow="1" w:lastRow="0" w:firstColumn="0" w:lastColumn="0" w:noHBand="0" w:noVBand="1"/>
      </w:tblPr>
      <w:tblGrid>
        <w:gridCol w:w="2563"/>
        <w:gridCol w:w="3723"/>
        <w:gridCol w:w="3522"/>
      </w:tblGrid>
      <w:tr w:rsidR="008812E9">
        <w:trPr>
          <w:jc w:val="center"/>
        </w:trPr>
        <w:tc>
          <w:tcPr>
            <w:tcW w:w="2563" w:type="dxa"/>
            <w:tcBorders>
              <w:top w:val="single" w:sz="18" w:space="0" w:color="auto"/>
              <w:bottom w:val="single" w:sz="18" w:space="0" w:color="auto"/>
            </w:tcBorders>
            <w:shd w:val="clear" w:color="auto" w:fill="C0504D" w:themeFill="accent2"/>
          </w:tcPr>
          <w:p w:rsidR="008812E9" w:rsidRDefault="008812E9">
            <w:pPr>
              <w:rPr>
                <w:rFonts w:asciiTheme="majorHAnsi" w:eastAsia="Times New Roman" w:hAnsiTheme="majorHAnsi" w:cs="Arial"/>
                <w:color w:val="000000" w:themeColor="text1"/>
                <w:szCs w:val="32"/>
                <w:lang w:eastAsia="en-GB"/>
              </w:rPr>
            </w:pPr>
          </w:p>
        </w:tc>
        <w:tc>
          <w:tcPr>
            <w:tcW w:w="3723" w:type="dxa"/>
            <w:tcBorders>
              <w:top w:val="single" w:sz="18" w:space="0" w:color="auto"/>
              <w:bottom w:val="single" w:sz="18" w:space="0" w:color="auto"/>
            </w:tcBorders>
            <w:shd w:val="clear" w:color="auto" w:fill="C0504D" w:themeFill="accent2"/>
          </w:tcPr>
          <w:p w:rsidR="008812E9" w:rsidRDefault="00254B6B">
            <w:pPr>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2017 Progress 8</w:t>
            </w:r>
          </w:p>
        </w:tc>
        <w:tc>
          <w:tcPr>
            <w:tcW w:w="3522" w:type="dxa"/>
            <w:tcBorders>
              <w:top w:val="single" w:sz="18" w:space="0" w:color="auto"/>
              <w:bottom w:val="single" w:sz="18" w:space="0" w:color="auto"/>
            </w:tcBorders>
            <w:shd w:val="clear" w:color="auto" w:fill="C0504D" w:themeFill="accent2"/>
          </w:tcPr>
          <w:p w:rsidR="008812E9" w:rsidRDefault="00254B6B">
            <w:pPr>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2018 Progress 8</w:t>
            </w:r>
          </w:p>
        </w:tc>
      </w:tr>
      <w:tr w:rsidR="008812E9">
        <w:trPr>
          <w:jc w:val="center"/>
        </w:trPr>
        <w:tc>
          <w:tcPr>
            <w:tcW w:w="2563" w:type="dxa"/>
            <w:tcBorders>
              <w:top w:val="single" w:sz="18" w:space="0" w:color="auto"/>
              <w:bottom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All students (inc PP)</w:t>
            </w:r>
          </w:p>
        </w:tc>
        <w:tc>
          <w:tcPr>
            <w:tcW w:w="3723"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0.14</w:t>
            </w:r>
          </w:p>
        </w:tc>
        <w:tc>
          <w:tcPr>
            <w:tcW w:w="3522"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0.00</w:t>
            </w:r>
          </w:p>
        </w:tc>
      </w:tr>
      <w:tr w:rsidR="008812E9">
        <w:trPr>
          <w:jc w:val="center"/>
        </w:trPr>
        <w:tc>
          <w:tcPr>
            <w:tcW w:w="2563" w:type="dxa"/>
            <w:tcBorders>
              <w:top w:val="single" w:sz="18" w:space="0" w:color="auto"/>
              <w:bottom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Non- PP Students</w:t>
            </w:r>
          </w:p>
        </w:tc>
        <w:tc>
          <w:tcPr>
            <w:tcW w:w="3723"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0.20</w:t>
            </w:r>
          </w:p>
        </w:tc>
        <w:tc>
          <w:tcPr>
            <w:tcW w:w="3522"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0.15</w:t>
            </w:r>
          </w:p>
        </w:tc>
      </w:tr>
      <w:tr w:rsidR="008812E9">
        <w:trPr>
          <w:jc w:val="center"/>
        </w:trPr>
        <w:tc>
          <w:tcPr>
            <w:tcW w:w="2563" w:type="dxa"/>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Pupil Premium Students</w:t>
            </w:r>
          </w:p>
        </w:tc>
        <w:tc>
          <w:tcPr>
            <w:tcW w:w="3723" w:type="dxa"/>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0.03</w:t>
            </w:r>
          </w:p>
        </w:tc>
        <w:tc>
          <w:tcPr>
            <w:tcW w:w="3522" w:type="dxa"/>
            <w:tcBorders>
              <w:top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-0.45</w:t>
            </w:r>
          </w:p>
        </w:tc>
      </w:tr>
    </w:tbl>
    <w:p w:rsidR="008812E9" w:rsidRDefault="008812E9">
      <w:pPr>
        <w:rPr>
          <w:rFonts w:asciiTheme="majorHAnsi" w:hAnsiTheme="majorHAnsi"/>
          <w:b/>
          <w:szCs w:val="8"/>
          <w:u w:val="single"/>
        </w:rPr>
      </w:pPr>
    </w:p>
    <w:p w:rsidR="008812E9" w:rsidRDefault="008812E9">
      <w:pPr>
        <w:rPr>
          <w:rFonts w:asciiTheme="majorHAnsi" w:hAnsiTheme="majorHAnsi"/>
          <w:b/>
        </w:rPr>
      </w:pPr>
    </w:p>
    <w:p w:rsidR="008812E9" w:rsidRDefault="008812E9">
      <w:pPr>
        <w:rPr>
          <w:rFonts w:asciiTheme="majorHAnsi" w:hAnsiTheme="majorHAnsi"/>
          <w:b/>
        </w:rPr>
      </w:pPr>
    </w:p>
    <w:p w:rsidR="008812E9" w:rsidRDefault="008812E9">
      <w:pPr>
        <w:rPr>
          <w:rFonts w:asciiTheme="majorHAnsi" w:hAnsiTheme="majorHAnsi"/>
          <w:b/>
        </w:rPr>
      </w:pPr>
    </w:p>
    <w:p w:rsidR="008812E9" w:rsidRDefault="008812E9">
      <w:pPr>
        <w:rPr>
          <w:rFonts w:asciiTheme="majorHAnsi" w:hAnsiTheme="majorHAnsi"/>
          <w:b/>
        </w:rPr>
      </w:pPr>
    </w:p>
    <w:p w:rsidR="008812E9" w:rsidRDefault="008812E9">
      <w:pPr>
        <w:rPr>
          <w:rFonts w:asciiTheme="majorHAnsi" w:hAnsiTheme="majorHAnsi"/>
          <w:b/>
        </w:rPr>
      </w:pPr>
    </w:p>
    <w:p w:rsidR="008812E9" w:rsidRDefault="00254B6B">
      <w:pPr>
        <w:rPr>
          <w:rFonts w:asciiTheme="majorHAnsi" w:hAnsiTheme="majorHAnsi"/>
          <w:b/>
        </w:rPr>
      </w:pPr>
      <w:r>
        <w:rPr>
          <w:rFonts w:asciiTheme="majorHAnsi" w:hAnsiTheme="majorHAnsi"/>
          <w:b/>
        </w:rPr>
        <w:lastRenderedPageBreak/>
        <w:t>PERFORMANCE OF SEN STUDENTS</w:t>
      </w:r>
    </w:p>
    <w:p w:rsidR="008812E9" w:rsidRDefault="008812E9">
      <w:pPr>
        <w:rPr>
          <w:rFonts w:asciiTheme="majorHAnsi" w:hAnsiTheme="majorHAnsi"/>
          <w:b/>
        </w:rPr>
      </w:pPr>
    </w:p>
    <w:tbl>
      <w:tblPr>
        <w:tblW w:w="9781" w:type="dxa"/>
        <w:tblLook w:val="0420" w:firstRow="1" w:lastRow="0" w:firstColumn="0" w:lastColumn="0" w:noHBand="0" w:noVBand="1"/>
      </w:tblPr>
      <w:tblGrid>
        <w:gridCol w:w="3459"/>
        <w:gridCol w:w="3590"/>
        <w:gridCol w:w="2732"/>
      </w:tblGrid>
      <w:tr w:rsidR="008812E9">
        <w:trPr>
          <w:trHeight w:val="290"/>
        </w:trPr>
        <w:tc>
          <w:tcPr>
            <w:tcW w:w="3459" w:type="dxa"/>
            <w:tcBorders>
              <w:top w:val="single" w:sz="18" w:space="0" w:color="auto"/>
              <w:bottom w:val="single" w:sz="18" w:space="0" w:color="auto"/>
            </w:tcBorders>
            <w:shd w:val="clear" w:color="auto" w:fill="C0504D" w:themeFill="accent2"/>
          </w:tcPr>
          <w:p w:rsidR="008812E9" w:rsidRDefault="008812E9">
            <w:pPr>
              <w:rPr>
                <w:rFonts w:asciiTheme="majorHAnsi" w:eastAsia="Times New Roman" w:hAnsiTheme="majorHAnsi" w:cs="Arial"/>
                <w:b/>
                <w:szCs w:val="32"/>
                <w:lang w:eastAsia="en-GB"/>
              </w:rPr>
            </w:pPr>
          </w:p>
        </w:tc>
        <w:tc>
          <w:tcPr>
            <w:tcW w:w="3590" w:type="dxa"/>
            <w:tcBorders>
              <w:top w:val="single" w:sz="18" w:space="0" w:color="auto"/>
              <w:bottom w:val="single" w:sz="18" w:space="0" w:color="auto"/>
            </w:tcBorders>
            <w:shd w:val="clear" w:color="auto" w:fill="C0504D" w:themeFill="accent2"/>
          </w:tcPr>
          <w:p w:rsidR="008812E9" w:rsidRDefault="00254B6B">
            <w:pPr>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 xml:space="preserve">2017 </w:t>
            </w:r>
            <w:r>
              <w:rPr>
                <w:rFonts w:asciiTheme="majorHAnsi" w:eastAsia="Times New Roman" w:hAnsiTheme="majorHAnsi" w:cs="Arial"/>
                <w:b/>
                <w:color w:val="000000" w:themeColor="text1"/>
                <w:kern w:val="24"/>
                <w:szCs w:val="32"/>
                <w:lang w:eastAsia="en-GB"/>
              </w:rPr>
              <w:t>Progress 8</w:t>
            </w:r>
          </w:p>
        </w:tc>
        <w:tc>
          <w:tcPr>
            <w:tcW w:w="2732" w:type="dxa"/>
            <w:tcBorders>
              <w:top w:val="single" w:sz="18" w:space="0" w:color="auto"/>
              <w:bottom w:val="single" w:sz="18" w:space="0" w:color="auto"/>
            </w:tcBorders>
            <w:shd w:val="clear" w:color="auto" w:fill="C0504D" w:themeFill="accent2"/>
          </w:tcPr>
          <w:p w:rsidR="008812E9" w:rsidRDefault="00254B6B">
            <w:pPr>
              <w:jc w:val="center"/>
              <w:rPr>
                <w:rFonts w:asciiTheme="majorHAnsi" w:eastAsia="Times New Roman" w:hAnsiTheme="majorHAnsi" w:cs="Arial"/>
                <w:b/>
                <w:color w:val="000000" w:themeColor="text1"/>
                <w:kern w:val="24"/>
                <w:szCs w:val="32"/>
                <w:lang w:eastAsia="en-GB"/>
              </w:rPr>
            </w:pPr>
            <w:r>
              <w:rPr>
                <w:rFonts w:asciiTheme="majorHAnsi" w:eastAsia="Times New Roman" w:hAnsiTheme="majorHAnsi" w:cs="Arial"/>
                <w:b/>
                <w:color w:val="000000" w:themeColor="text1"/>
                <w:kern w:val="24"/>
                <w:szCs w:val="32"/>
                <w:lang w:eastAsia="en-GB"/>
              </w:rPr>
              <w:t>2018 Progress 8</w:t>
            </w:r>
          </w:p>
        </w:tc>
      </w:tr>
      <w:tr w:rsidR="008812E9">
        <w:trPr>
          <w:trHeight w:val="239"/>
        </w:trPr>
        <w:tc>
          <w:tcPr>
            <w:tcW w:w="3459" w:type="dxa"/>
            <w:tcBorders>
              <w:top w:val="single" w:sz="18" w:space="0" w:color="auto"/>
              <w:bottom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All</w:t>
            </w:r>
          </w:p>
        </w:tc>
        <w:tc>
          <w:tcPr>
            <w:tcW w:w="3590"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0.14</w:t>
            </w:r>
          </w:p>
        </w:tc>
        <w:tc>
          <w:tcPr>
            <w:tcW w:w="2732"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0.00</w:t>
            </w:r>
          </w:p>
        </w:tc>
      </w:tr>
      <w:tr w:rsidR="008812E9">
        <w:trPr>
          <w:trHeight w:val="238"/>
        </w:trPr>
        <w:tc>
          <w:tcPr>
            <w:tcW w:w="3459" w:type="dxa"/>
            <w:tcBorders>
              <w:top w:val="single" w:sz="18" w:space="0" w:color="auto"/>
              <w:bottom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None SEN</w:t>
            </w:r>
          </w:p>
        </w:tc>
        <w:tc>
          <w:tcPr>
            <w:tcW w:w="3590"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0.14</w:t>
            </w:r>
          </w:p>
        </w:tc>
        <w:tc>
          <w:tcPr>
            <w:tcW w:w="2732"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0.011</w:t>
            </w:r>
          </w:p>
        </w:tc>
      </w:tr>
      <w:tr w:rsidR="008812E9">
        <w:trPr>
          <w:trHeight w:val="238"/>
        </w:trPr>
        <w:tc>
          <w:tcPr>
            <w:tcW w:w="3459" w:type="dxa"/>
            <w:tcBorders>
              <w:top w:val="single" w:sz="18" w:space="0" w:color="auto"/>
              <w:bottom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SEN Support</w:t>
            </w:r>
          </w:p>
        </w:tc>
        <w:tc>
          <w:tcPr>
            <w:tcW w:w="3590"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0.06</w:t>
            </w:r>
          </w:p>
        </w:tc>
        <w:tc>
          <w:tcPr>
            <w:tcW w:w="2732" w:type="dxa"/>
            <w:tcBorders>
              <w:top w:val="single" w:sz="18" w:space="0" w:color="auto"/>
              <w:bottom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-0.1546</w:t>
            </w:r>
          </w:p>
        </w:tc>
      </w:tr>
      <w:tr w:rsidR="008812E9">
        <w:trPr>
          <w:trHeight w:val="305"/>
        </w:trPr>
        <w:tc>
          <w:tcPr>
            <w:tcW w:w="3459" w:type="dxa"/>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SEN Statement/EHCP</w:t>
            </w:r>
          </w:p>
        </w:tc>
        <w:tc>
          <w:tcPr>
            <w:tcW w:w="3590" w:type="dxa"/>
            <w:tcBorders>
              <w:top w:val="single" w:sz="18" w:space="0" w:color="auto"/>
            </w:tcBorders>
          </w:tcPr>
          <w:p w:rsidR="008812E9" w:rsidRDefault="00254B6B">
            <w:pPr>
              <w:jc w:val="center"/>
              <w:rPr>
                <w:rFonts w:asciiTheme="majorHAnsi" w:eastAsia="Times New Roman" w:hAnsiTheme="majorHAnsi" w:cs="Arial"/>
                <w:szCs w:val="32"/>
                <w:lang w:eastAsia="en-GB"/>
              </w:rPr>
            </w:pPr>
            <w:r>
              <w:rPr>
                <w:rFonts w:asciiTheme="majorHAnsi" w:eastAsia="Times New Roman" w:hAnsiTheme="majorHAnsi" w:cs="Arial"/>
                <w:color w:val="000000" w:themeColor="dark1"/>
                <w:kern w:val="24"/>
                <w:szCs w:val="32"/>
                <w:lang w:eastAsia="en-GB"/>
              </w:rPr>
              <w:t>0.48</w:t>
            </w:r>
          </w:p>
        </w:tc>
        <w:tc>
          <w:tcPr>
            <w:tcW w:w="2732" w:type="dxa"/>
            <w:tcBorders>
              <w:top w:val="single" w:sz="18" w:space="0" w:color="auto"/>
            </w:tcBorders>
          </w:tcPr>
          <w:p w:rsidR="008812E9" w:rsidRDefault="00254B6B">
            <w:pPr>
              <w:jc w:val="center"/>
              <w:rPr>
                <w:rFonts w:asciiTheme="majorHAnsi" w:eastAsia="Times New Roman" w:hAnsiTheme="majorHAnsi" w:cs="Arial"/>
                <w:color w:val="000000" w:themeColor="dark1"/>
                <w:kern w:val="24"/>
                <w:szCs w:val="32"/>
                <w:lang w:eastAsia="en-GB"/>
              </w:rPr>
            </w:pPr>
            <w:r>
              <w:rPr>
                <w:rFonts w:asciiTheme="majorHAnsi" w:eastAsia="Times New Roman" w:hAnsiTheme="majorHAnsi" w:cs="Arial"/>
                <w:color w:val="000000" w:themeColor="dark1"/>
                <w:kern w:val="24"/>
                <w:szCs w:val="32"/>
                <w:lang w:eastAsia="en-GB"/>
              </w:rPr>
              <w:t>-0.720</w:t>
            </w:r>
          </w:p>
        </w:tc>
      </w:tr>
    </w:tbl>
    <w:p w:rsidR="008812E9" w:rsidRDefault="008812E9">
      <w:pPr>
        <w:rPr>
          <w:rFonts w:asciiTheme="majorHAnsi" w:hAnsiTheme="majorHAnsi"/>
          <w:b/>
          <w:szCs w:val="8"/>
          <w:u w:val="single"/>
        </w:rPr>
      </w:pPr>
    </w:p>
    <w:p w:rsidR="008812E9" w:rsidRDefault="008812E9">
      <w:pPr>
        <w:rPr>
          <w:rFonts w:asciiTheme="majorHAnsi" w:hAnsiTheme="majorHAnsi"/>
        </w:rPr>
      </w:pPr>
    </w:p>
    <w:p w:rsidR="008812E9" w:rsidRDefault="008812E9">
      <w:pPr>
        <w:rPr>
          <w:rFonts w:asciiTheme="majorHAnsi" w:hAnsiTheme="majorHAnsi"/>
        </w:rPr>
      </w:pPr>
    </w:p>
    <w:sectPr w:rsidR="008812E9">
      <w:headerReference w:type="default" r:id="rId7"/>
      <w:footerReference w:type="even" r:id="rId8"/>
      <w:footerReference w:type="default" r:id="rId9"/>
      <w:pgSz w:w="11900" w:h="16840"/>
      <w:pgMar w:top="1440" w:right="1080" w:bottom="1440" w:left="1080"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6B" w:rsidRDefault="00254B6B">
      <w:r>
        <w:separator/>
      </w:r>
    </w:p>
  </w:endnote>
  <w:endnote w:type="continuationSeparator" w:id="0">
    <w:p w:rsidR="00254B6B" w:rsidRDefault="0025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E9" w:rsidRDefault="00254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2E9" w:rsidRDefault="00881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E9" w:rsidRDefault="00254B6B">
    <w:pPr>
      <w:pStyle w:val="Footer"/>
      <w:framePr w:wrap="around" w:vAnchor="text" w:hAnchor="margin" w:xAlign="right" w:y="1"/>
      <w:rPr>
        <w:rStyle w:val="PageNumber"/>
        <w:rFonts w:asciiTheme="majorHAnsi" w:hAnsiTheme="majorHAnsi"/>
        <w:sz w:val="20"/>
        <w:szCs w:val="20"/>
      </w:rPr>
    </w:pPr>
    <w:r>
      <w:rPr>
        <w:rStyle w:val="PageNumber"/>
        <w:rFonts w:asciiTheme="majorHAnsi" w:hAnsiTheme="majorHAnsi"/>
        <w:sz w:val="20"/>
        <w:szCs w:val="20"/>
      </w:rPr>
      <w:fldChar w:fldCharType="begin"/>
    </w:r>
    <w:r>
      <w:rPr>
        <w:rStyle w:val="PageNumber"/>
        <w:rFonts w:asciiTheme="majorHAnsi" w:hAnsiTheme="majorHAnsi"/>
        <w:sz w:val="20"/>
        <w:szCs w:val="20"/>
      </w:rPr>
      <w:instrText xml:space="preserve">PAGE  </w:instrText>
    </w:r>
    <w:r>
      <w:rPr>
        <w:rStyle w:val="PageNumber"/>
        <w:rFonts w:asciiTheme="majorHAnsi" w:hAnsiTheme="majorHAnsi"/>
        <w:sz w:val="20"/>
        <w:szCs w:val="20"/>
      </w:rPr>
      <w:fldChar w:fldCharType="separate"/>
    </w:r>
    <w:r w:rsidR="00C31932">
      <w:rPr>
        <w:rStyle w:val="PageNumber"/>
        <w:rFonts w:asciiTheme="majorHAnsi" w:hAnsiTheme="majorHAnsi"/>
        <w:noProof/>
        <w:sz w:val="20"/>
        <w:szCs w:val="20"/>
      </w:rPr>
      <w:t>3</w:t>
    </w:r>
    <w:r>
      <w:rPr>
        <w:rStyle w:val="PageNumber"/>
        <w:rFonts w:asciiTheme="majorHAnsi" w:hAnsiTheme="majorHAnsi"/>
        <w:sz w:val="20"/>
        <w:szCs w:val="20"/>
      </w:rPr>
      <w:fldChar w:fldCharType="end"/>
    </w:r>
  </w:p>
  <w:p w:rsidR="008812E9" w:rsidRDefault="008812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6B" w:rsidRDefault="00254B6B">
      <w:r>
        <w:separator/>
      </w:r>
    </w:p>
  </w:footnote>
  <w:footnote w:type="continuationSeparator" w:id="0">
    <w:p w:rsidR="00254B6B" w:rsidRDefault="0025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E9" w:rsidRDefault="00254B6B">
    <w:pPr>
      <w:pStyle w:val="Header"/>
      <w:jc w:val="center"/>
    </w:pPr>
    <w:r>
      <w:rPr>
        <w:noProof/>
        <w:lang w:eastAsia="en-GB"/>
      </w:rPr>
      <w:drawing>
        <wp:inline distT="0" distB="0" distL="0" distR="0">
          <wp:extent cx="5274310" cy="843915"/>
          <wp:effectExtent l="0" t="0" r="0" b="0"/>
          <wp:docPr id="2" name="Picture 0" descr="CCHS_logo_with_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a:stretch>
                    <a:fillRect/>
                  </a:stretch>
                </pic:blipFill>
                <pic:spPr>
                  <a:xfrm>
                    <a:off x="0" y="0"/>
                    <a:ext cx="5274310" cy="843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9"/>
    <w:rsid w:val="00254B6B"/>
    <w:rsid w:val="008812E9"/>
    <w:rsid w:val="00C319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F232B-F683-41BB-8C2F-8CEABBA1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lsdException w:name="Medium List 2 Accent 2"/>
    <w:lsdException w:name="Medium Grid 1 Accent 2"/>
    <w:lsdException w:name="Medium Grid 2 Accent 2"/>
    <w:lsdException w:name="Medium Grid 3 Accent 2" w:uiPriority="69"/>
    <w:lsdException w:name="Dark List Accent 2"/>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emiHidden/>
    <w:unhideWhenUsed/>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BalloonText">
    <w:name w:val="Balloon Text"/>
    <w:basedOn w:val="Normal"/>
    <w:link w:val="BalloonTextChar"/>
    <w:uiPriority w:val="99"/>
    <w:unhideWhenUsed/>
    <w:rPr>
      <w:rFonts w:ascii="Tahoma" w:hAnsi="Tahoma" w:cs="Tahoma"/>
      <w:sz w:val="16"/>
      <w:szCs w:val="16"/>
    </w:rPr>
  </w:style>
  <w:style w:type="paragraph" w:styleId="NormalWeb">
    <w:name w:val="Normal (Web)"/>
    <w:basedOn w:val="Normal"/>
    <w:uiPriority w:val="99"/>
    <w:unhideWhenUsed/>
    <w:pPr>
      <w:spacing w:after="288"/>
      <w:jc w:val="both"/>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1435">
      <w:bodyDiv w:val="1"/>
      <w:marLeft w:val="0"/>
      <w:marRight w:val="0"/>
      <w:marTop w:val="0"/>
      <w:marBottom w:val="0"/>
      <w:divBdr>
        <w:top w:val="none" w:sz="0" w:space="0" w:color="auto"/>
        <w:left w:val="none" w:sz="0" w:space="0" w:color="auto"/>
        <w:bottom w:val="none" w:sz="0" w:space="0" w:color="auto"/>
        <w:right w:val="none" w:sz="0" w:space="0" w:color="auto"/>
      </w:divBdr>
    </w:div>
    <w:div w:id="788740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7E55D0AD</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Cannock Chase High School</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Reynolds</dc:creator>
  <cp:lastModifiedBy>J.Simpson</cp:lastModifiedBy>
  <cp:revision>2</cp:revision>
  <dcterms:created xsi:type="dcterms:W3CDTF">2019-02-28T09:33:00Z</dcterms:created>
  <dcterms:modified xsi:type="dcterms:W3CDTF">2019-02-28T09:33:00Z</dcterms:modified>
</cp:coreProperties>
</file>